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A5" w:rsidRPr="00A527A5" w:rsidRDefault="00695DF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95DFE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Cabinet </w:t>
      </w:r>
      <w:r w:rsidR="002C1BB7">
        <w:rPr>
          <w:rFonts w:ascii="Arial" w:hAnsi="Arial" w:cs="Arial"/>
          <w:bCs/>
          <w:spacing w:val="-3"/>
          <w:sz w:val="22"/>
          <w:szCs w:val="22"/>
          <w:lang w:val="en-US"/>
        </w:rPr>
        <w:t>considered</w:t>
      </w:r>
      <w:r w:rsidRPr="00695DFE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a proposed strategy to address key issues arising from the current debate 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around </w:t>
      </w:r>
      <w:r w:rsidRPr="00695DFE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access to agricultural land by the minerals and petroleum resources sector, the catalyst for which has predominantly been the rapid growth of coal and coal seam gas exploration in the </w:t>
      </w:r>
      <w:smartTag w:uri="urn:schemas-microsoft-com:office:smarttags" w:element="place">
        <w:smartTag w:uri="urn:schemas-microsoft-com:office:smarttags" w:element="PlaceName">
          <w:r w:rsidRPr="00695DFE">
            <w:rPr>
              <w:rFonts w:ascii="Arial" w:hAnsi="Arial" w:cs="Arial"/>
              <w:bCs/>
              <w:spacing w:val="-3"/>
              <w:sz w:val="22"/>
              <w:szCs w:val="22"/>
              <w:lang w:val="en-US"/>
            </w:rPr>
            <w:t>Surat</w:t>
          </w:r>
        </w:smartTag>
        <w:r w:rsidRPr="00695DFE">
          <w:rPr>
            <w:rFonts w:ascii="Arial" w:hAnsi="Arial" w:cs="Arial"/>
            <w:bCs/>
            <w:spacing w:val="-3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695DFE">
            <w:rPr>
              <w:rFonts w:ascii="Arial" w:hAnsi="Arial" w:cs="Arial"/>
              <w:bCs/>
              <w:spacing w:val="-3"/>
              <w:sz w:val="22"/>
              <w:szCs w:val="22"/>
              <w:lang w:val="en-US"/>
            </w:rPr>
            <w:t>Basin</w:t>
          </w:r>
        </w:smartTag>
      </w:smartTag>
      <w:r w:rsidR="00A527A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95DFE" w:rsidRPr="00695DFE" w:rsidRDefault="00695DFE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5DFE">
        <w:rPr>
          <w:rFonts w:ascii="Arial" w:hAnsi="Arial" w:cs="Arial"/>
          <w:sz w:val="22"/>
          <w:szCs w:val="22"/>
          <w:lang w:val="en-US"/>
        </w:rPr>
        <w:t>While the State will reap economic rewards from the expansion of resource exploration and development, such growth is also presenting challenges for government and industry alike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695DFE">
        <w:rPr>
          <w:rFonts w:ascii="Arial" w:hAnsi="Arial" w:cs="Arial"/>
          <w:sz w:val="22"/>
          <w:szCs w:val="22"/>
        </w:rPr>
        <w:t xml:space="preserve"> </w:t>
      </w:r>
    </w:p>
    <w:p w:rsidR="00695DFE" w:rsidRPr="00CE6FBA" w:rsidRDefault="00695DFE" w:rsidP="00695DF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5DFE">
        <w:rPr>
          <w:rFonts w:ascii="Arial" w:hAnsi="Arial" w:cs="Arial"/>
          <w:bCs/>
          <w:spacing w:val="-3"/>
          <w:sz w:val="22"/>
          <w:szCs w:val="22"/>
          <w:lang w:val="en-US"/>
        </w:rPr>
        <w:t>A substantial increase in exploration activity across key parts of the State has placed greater emphasis on the importance of building a much clearer understanding of the rights and responsibilities of explorers and rural landholders relating to potential development of the State’s mineral and petroleum resources.</w:t>
      </w:r>
      <w:r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 </w:t>
      </w:r>
    </w:p>
    <w:p w:rsidR="00695DFE" w:rsidRPr="00695DFE" w:rsidRDefault="00695DFE" w:rsidP="00695DFE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95DFE">
        <w:rPr>
          <w:rFonts w:ascii="Arial" w:hAnsi="Arial" w:cs="Arial"/>
          <w:sz w:val="22"/>
          <w:szCs w:val="22"/>
          <w:lang w:val="en-US"/>
        </w:rPr>
        <w:t xml:space="preserve">The growth in the </w:t>
      </w:r>
      <w:r w:rsidRPr="00695DFE">
        <w:rPr>
          <w:rFonts w:ascii="Arial" w:hAnsi="Arial" w:cs="Arial"/>
          <w:bCs/>
          <w:spacing w:val="-3"/>
          <w:sz w:val="22"/>
          <w:szCs w:val="22"/>
          <w:lang w:val="en-US"/>
        </w:rPr>
        <w:t>coal seam gas</w:t>
      </w:r>
      <w:r w:rsidRPr="00695DFE">
        <w:rPr>
          <w:rFonts w:ascii="Arial" w:hAnsi="Arial" w:cs="Arial"/>
          <w:sz w:val="22"/>
          <w:szCs w:val="22"/>
          <w:lang w:val="en-US"/>
        </w:rPr>
        <w:t xml:space="preserve"> </w:t>
      </w:r>
      <w:r w:rsidR="002C1B8F">
        <w:rPr>
          <w:rFonts w:ascii="Arial" w:hAnsi="Arial" w:cs="Arial"/>
          <w:sz w:val="22"/>
          <w:szCs w:val="22"/>
          <w:lang w:val="en-US"/>
        </w:rPr>
        <w:t xml:space="preserve">and mining </w:t>
      </w:r>
      <w:r w:rsidRPr="00695DFE">
        <w:rPr>
          <w:rFonts w:ascii="Arial" w:hAnsi="Arial" w:cs="Arial"/>
          <w:sz w:val="22"/>
          <w:szCs w:val="22"/>
          <w:lang w:val="en-US"/>
        </w:rPr>
        <w:t>industr</w:t>
      </w:r>
      <w:r w:rsidR="002C1B8F">
        <w:rPr>
          <w:rFonts w:ascii="Arial" w:hAnsi="Arial" w:cs="Arial"/>
          <w:sz w:val="22"/>
          <w:szCs w:val="22"/>
          <w:lang w:val="en-US"/>
        </w:rPr>
        <w:t>ies</w:t>
      </w:r>
      <w:r w:rsidRPr="00695DFE">
        <w:rPr>
          <w:rFonts w:ascii="Arial" w:hAnsi="Arial" w:cs="Arial"/>
          <w:sz w:val="22"/>
          <w:szCs w:val="22"/>
          <w:lang w:val="en-US"/>
        </w:rPr>
        <w:t xml:space="preserve"> in the </w:t>
      </w:r>
      <w:smartTag w:uri="urn:schemas-microsoft-com:office:smarttags" w:element="place">
        <w:smartTag w:uri="urn:schemas-microsoft-com:office:smarttags" w:element="PlaceName">
          <w:r w:rsidRPr="00695DFE">
            <w:rPr>
              <w:rFonts w:ascii="Arial" w:hAnsi="Arial" w:cs="Arial"/>
              <w:sz w:val="22"/>
              <w:szCs w:val="22"/>
              <w:lang w:val="en-US"/>
            </w:rPr>
            <w:t>Surat</w:t>
          </w:r>
        </w:smartTag>
        <w:r w:rsidRPr="00695DFE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695DFE">
            <w:rPr>
              <w:rFonts w:ascii="Arial" w:hAnsi="Arial" w:cs="Arial"/>
              <w:sz w:val="22"/>
              <w:szCs w:val="22"/>
              <w:lang w:val="en-US"/>
            </w:rPr>
            <w:t>Basin</w:t>
          </w:r>
        </w:smartTag>
      </w:smartTag>
      <w:r w:rsidRPr="00695DFE">
        <w:rPr>
          <w:rFonts w:ascii="Arial" w:hAnsi="Arial" w:cs="Arial"/>
          <w:sz w:val="22"/>
          <w:szCs w:val="22"/>
          <w:lang w:val="en-US"/>
        </w:rPr>
        <w:t xml:space="preserve"> has resulted in </w:t>
      </w:r>
      <w:r w:rsidR="009603CA">
        <w:rPr>
          <w:rFonts w:ascii="Arial" w:hAnsi="Arial" w:cs="Arial"/>
          <w:sz w:val="22"/>
          <w:szCs w:val="22"/>
          <w:lang w:val="en-US"/>
        </w:rPr>
        <w:t xml:space="preserve">interest in </w:t>
      </w:r>
      <w:r w:rsidRPr="00695DFE">
        <w:rPr>
          <w:rFonts w:ascii="Arial" w:hAnsi="Arial" w:cs="Arial"/>
          <w:sz w:val="22"/>
          <w:szCs w:val="22"/>
          <w:lang w:val="en-US"/>
        </w:rPr>
        <w:t xml:space="preserve">land that has not previously been associated with resource exploration or development.  </w:t>
      </w:r>
    </w:p>
    <w:p w:rsidR="00695DFE" w:rsidRPr="00695DFE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695DFE" w:rsidRPr="00695DFE">
        <w:rPr>
          <w:rFonts w:ascii="Arial" w:hAnsi="Arial" w:cs="Arial"/>
          <w:sz w:val="22"/>
          <w:szCs w:val="22"/>
        </w:rPr>
        <w:t xml:space="preserve">existing actions to address land access issues in the </w:t>
      </w:r>
      <w:smartTag w:uri="urn:schemas-microsoft-com:office:smarttags" w:element="place">
        <w:smartTag w:uri="urn:schemas-microsoft-com:office:smarttags" w:element="PlaceName">
          <w:r w:rsidR="00695DFE" w:rsidRPr="00695DFE">
            <w:rPr>
              <w:rFonts w:ascii="Arial" w:hAnsi="Arial" w:cs="Arial"/>
              <w:sz w:val="22"/>
              <w:szCs w:val="22"/>
            </w:rPr>
            <w:t>Surat</w:t>
          </w:r>
        </w:smartTag>
        <w:r w:rsidR="00695DFE" w:rsidRPr="00695DFE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695DFE" w:rsidRPr="00695DFE">
            <w:rPr>
              <w:rFonts w:ascii="Arial" w:hAnsi="Arial" w:cs="Arial"/>
              <w:sz w:val="22"/>
              <w:szCs w:val="22"/>
            </w:rPr>
            <w:t>Basin</w:t>
          </w:r>
        </w:smartTag>
      </w:smartTag>
      <w:r w:rsidR="00C57E29">
        <w:rPr>
          <w:rFonts w:ascii="Arial" w:hAnsi="Arial" w:cs="Arial"/>
          <w:sz w:val="22"/>
          <w:szCs w:val="22"/>
        </w:rPr>
        <w:t>.</w:t>
      </w:r>
      <w:r w:rsidR="00695DFE" w:rsidRPr="00695DFE">
        <w:rPr>
          <w:rFonts w:ascii="Arial" w:hAnsi="Arial" w:cs="Arial"/>
          <w:sz w:val="22"/>
          <w:szCs w:val="22"/>
        </w:rPr>
        <w:t xml:space="preserve"> </w:t>
      </w:r>
    </w:p>
    <w:p w:rsidR="00C57E29" w:rsidRPr="00C57E29" w:rsidRDefault="00C57E29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C57E29">
        <w:rPr>
          <w:rFonts w:ascii="Arial" w:hAnsi="Arial" w:cs="Arial"/>
          <w:sz w:val="22"/>
          <w:szCs w:val="22"/>
        </w:rPr>
        <w:t>the following initiatives</w:t>
      </w:r>
      <w:r>
        <w:rPr>
          <w:rFonts w:ascii="Arial" w:hAnsi="Arial" w:cs="Arial"/>
          <w:sz w:val="22"/>
          <w:szCs w:val="22"/>
        </w:rPr>
        <w:t>:</w:t>
      </w:r>
      <w:r w:rsidRPr="00C57E29">
        <w:rPr>
          <w:rFonts w:ascii="Arial" w:hAnsi="Arial" w:cs="Arial"/>
          <w:sz w:val="22"/>
          <w:szCs w:val="22"/>
        </w:rPr>
        <w:t xml:space="preserve"> </w:t>
      </w:r>
    </w:p>
    <w:p w:rsidR="00C57E29" w:rsidRPr="00C57E29" w:rsidRDefault="00C57E29" w:rsidP="00C57E2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US"/>
        </w:rPr>
      </w:pPr>
      <w:r w:rsidRPr="00C57E29">
        <w:rPr>
          <w:rFonts w:ascii="Arial" w:hAnsi="Arial" w:cs="Arial"/>
          <w:sz w:val="22"/>
          <w:szCs w:val="22"/>
          <w:lang w:val="en-US"/>
        </w:rPr>
        <w:t xml:space="preserve">the Department of </w:t>
      </w:r>
      <w:smartTag w:uri="urn:schemas-microsoft-com:office:smarttags" w:element="PersonName">
        <w:r w:rsidRPr="00C57E29">
          <w:rPr>
            <w:rFonts w:ascii="Arial" w:hAnsi="Arial" w:cs="Arial"/>
            <w:sz w:val="22"/>
            <w:szCs w:val="22"/>
            <w:lang w:val="en-US"/>
          </w:rPr>
          <w:t>Mines and Energy</w:t>
        </w:r>
      </w:smartTag>
      <w:r w:rsidRPr="00C57E29">
        <w:rPr>
          <w:rFonts w:ascii="Arial" w:hAnsi="Arial" w:cs="Arial"/>
          <w:sz w:val="22"/>
          <w:szCs w:val="22"/>
          <w:lang w:val="en-US"/>
        </w:rPr>
        <w:t xml:space="preserve"> and the Environmental Protection Agency jointly establish a Surat Basin District Office in either Dalby or Roma;</w:t>
      </w:r>
    </w:p>
    <w:p w:rsidR="00C57E29" w:rsidRPr="00C57E29" w:rsidRDefault="00C57E29" w:rsidP="00C57E2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US"/>
        </w:rPr>
      </w:pPr>
      <w:r w:rsidRPr="00C57E29">
        <w:rPr>
          <w:rFonts w:ascii="Arial" w:hAnsi="Arial" w:cs="Arial"/>
          <w:sz w:val="22"/>
          <w:szCs w:val="22"/>
          <w:lang w:val="en-US"/>
        </w:rPr>
        <w:t xml:space="preserve">officers placed in the District Office to ensure compliance with all legislation relevant to mining and gas activities including the </w:t>
      </w:r>
      <w:r w:rsidRPr="00C57E29">
        <w:rPr>
          <w:rFonts w:ascii="Arial" w:hAnsi="Arial" w:cs="Arial"/>
          <w:i/>
          <w:sz w:val="22"/>
          <w:szCs w:val="22"/>
          <w:lang w:val="en-US"/>
        </w:rPr>
        <w:t xml:space="preserve">Mineral Resources Act 1989, Petroleum and Gas (Production and Safety) Act 2004, Petroleum Act 1923, </w:t>
      </w:r>
      <w:r w:rsidRPr="00C57E29">
        <w:rPr>
          <w:rFonts w:ascii="Arial" w:hAnsi="Arial" w:cs="Arial"/>
          <w:sz w:val="22"/>
          <w:szCs w:val="22"/>
          <w:lang w:val="en-US"/>
        </w:rPr>
        <w:t>and</w:t>
      </w:r>
      <w:r w:rsidRPr="00C57E29">
        <w:rPr>
          <w:rFonts w:ascii="Arial" w:hAnsi="Arial" w:cs="Arial"/>
          <w:i/>
          <w:sz w:val="22"/>
          <w:szCs w:val="22"/>
          <w:lang w:val="en-US"/>
        </w:rPr>
        <w:t xml:space="preserve"> Environmental Protection Act 2004</w:t>
      </w:r>
      <w:r w:rsidRPr="00C57E29">
        <w:rPr>
          <w:rFonts w:ascii="Arial" w:hAnsi="Arial" w:cs="Arial"/>
          <w:sz w:val="22"/>
          <w:szCs w:val="22"/>
          <w:lang w:val="en-US"/>
        </w:rPr>
        <w:t>;</w:t>
      </w:r>
    </w:p>
    <w:p w:rsidR="00C57E29" w:rsidRPr="00C57E29" w:rsidRDefault="00C57E29" w:rsidP="00C57E2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US"/>
        </w:rPr>
      </w:pPr>
      <w:r w:rsidRPr="00C57E29">
        <w:rPr>
          <w:rFonts w:ascii="Arial" w:hAnsi="Arial" w:cs="Arial"/>
          <w:sz w:val="22"/>
          <w:szCs w:val="22"/>
          <w:lang w:val="en-US"/>
        </w:rPr>
        <w:t>a single Code of Conduct be developed by the Land Access Working Group, with specific requirements for each sector;</w:t>
      </w:r>
    </w:p>
    <w:p w:rsidR="00C57E29" w:rsidRPr="00C57E29" w:rsidRDefault="00C57E29" w:rsidP="00C57E2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US"/>
        </w:rPr>
      </w:pPr>
      <w:r w:rsidRPr="00C57E29">
        <w:rPr>
          <w:rFonts w:ascii="Arial" w:hAnsi="Arial" w:cs="Arial"/>
          <w:sz w:val="22"/>
          <w:szCs w:val="22"/>
          <w:lang w:val="en-US"/>
        </w:rPr>
        <w:t>in order to minimise disruption to agricultural land, the Government will investigate the establishment of common user pipeline easements; and</w:t>
      </w:r>
    </w:p>
    <w:p w:rsidR="00C57E29" w:rsidRPr="00C57E29" w:rsidRDefault="00C57E29" w:rsidP="00C57E2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  <w:lang w:val="en-US"/>
        </w:rPr>
      </w:pPr>
      <w:r w:rsidRPr="00C57E29">
        <w:rPr>
          <w:rFonts w:ascii="Arial" w:hAnsi="Arial" w:cs="Arial"/>
          <w:sz w:val="22"/>
          <w:szCs w:val="22"/>
          <w:lang w:val="en-US"/>
        </w:rPr>
        <w:t>a standard compensation agreement is to be developed as a basis for simplifying compensation negotiations.</w:t>
      </w:r>
    </w:p>
    <w:p w:rsidR="00EA00BF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C57E29" w:rsidRPr="00C07656" w:rsidRDefault="00C57E29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527A5" w:rsidRDefault="005D3FC4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695DFE" w:rsidRPr="00683387">
          <w:rPr>
            <w:rStyle w:val="Hyperlink"/>
            <w:rFonts w:ascii="Arial" w:hAnsi="Arial" w:cs="Arial"/>
            <w:sz w:val="22"/>
            <w:szCs w:val="22"/>
            <w:lang w:val="en-US"/>
          </w:rPr>
          <w:t>Map – Queensland Mineral Petroleum and Energy Resources</w:t>
        </w:r>
      </w:hyperlink>
    </w:p>
    <w:p w:rsidR="00EA00BF" w:rsidRPr="00C07656" w:rsidRDefault="005D3FC4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C57E29" w:rsidRPr="00683387">
          <w:rPr>
            <w:rStyle w:val="Hyperlink"/>
            <w:rFonts w:ascii="Arial" w:hAnsi="Arial" w:cs="Arial"/>
            <w:sz w:val="22"/>
            <w:szCs w:val="22"/>
            <w:lang w:val="en-US"/>
          </w:rPr>
          <w:t>Map – Queensland Current Exploration Permits</w:t>
        </w:r>
      </w:hyperlink>
    </w:p>
    <w:sectPr w:rsidR="00EA00BF" w:rsidRPr="00C07656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9A" w:rsidRDefault="00C83D9A">
      <w:r>
        <w:separator/>
      </w:r>
    </w:p>
  </w:endnote>
  <w:endnote w:type="continuationSeparator" w:id="0">
    <w:p w:rsidR="00C83D9A" w:rsidRDefault="00C8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FE" w:rsidRPr="001141E1" w:rsidRDefault="00695DFE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9A" w:rsidRDefault="00C83D9A">
      <w:r>
        <w:separator/>
      </w:r>
    </w:p>
  </w:footnote>
  <w:footnote w:type="continuationSeparator" w:id="0">
    <w:p w:rsidR="00C83D9A" w:rsidRDefault="00C83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DFE" w:rsidRPr="000400F9" w:rsidRDefault="00A150F1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DF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95DFE">
      <w:rPr>
        <w:rFonts w:ascii="Arial" w:hAnsi="Arial" w:cs="Arial"/>
        <w:b/>
        <w:sz w:val="22"/>
        <w:szCs w:val="22"/>
        <w:u w:val="single"/>
      </w:rPr>
      <w:t>November 2008</w:t>
    </w:r>
  </w:p>
  <w:p w:rsidR="00695DFE" w:rsidRDefault="00695DF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83D25">
      <w:rPr>
        <w:rFonts w:ascii="Arial" w:hAnsi="Arial" w:cs="Arial"/>
        <w:b/>
        <w:sz w:val="22"/>
        <w:szCs w:val="22"/>
        <w:u w:val="single"/>
        <w:lang w:val="en-US"/>
      </w:rPr>
      <w:t>Access to agricultural land by the minerals and petroleum resources sector</w:t>
    </w:r>
  </w:p>
  <w:p w:rsidR="00695DFE" w:rsidRDefault="00695DFE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83D25">
      <w:rPr>
        <w:rFonts w:ascii="Arial" w:hAnsi="Arial" w:cs="Arial"/>
        <w:b/>
        <w:sz w:val="22"/>
        <w:szCs w:val="22"/>
        <w:u w:val="single"/>
        <w:lang w:val="en-US"/>
      </w:rPr>
      <w:t>Deputy Premier and Minister for Infrastructure and Planning</w:t>
    </w:r>
    <w:r>
      <w:rPr>
        <w:rFonts w:ascii="Arial" w:hAnsi="Arial" w:cs="Arial"/>
        <w:b/>
        <w:sz w:val="22"/>
        <w:szCs w:val="22"/>
        <w:u w:val="single"/>
        <w:lang w:val="en-US"/>
      </w:rPr>
      <w:t>;</w:t>
    </w:r>
    <w:r w:rsidRPr="00283D25">
      <w:rPr>
        <w:rFonts w:ascii="Arial" w:hAnsi="Arial" w:cs="Arial"/>
        <w:b/>
        <w:sz w:val="22"/>
        <w:szCs w:val="22"/>
        <w:u w:val="single"/>
      </w:rPr>
      <w:t xml:space="preserve"> Minister for </w:t>
    </w:r>
    <w:smartTag w:uri="urn:schemas-microsoft-com:office:smarttags" w:element="PersonName">
      <w:r w:rsidRPr="00283D25">
        <w:rPr>
          <w:rFonts w:ascii="Arial" w:hAnsi="Arial" w:cs="Arial"/>
          <w:b/>
          <w:sz w:val="22"/>
          <w:szCs w:val="22"/>
          <w:u w:val="single"/>
        </w:rPr>
        <w:t>Mines and Energy</w:t>
      </w:r>
    </w:smartTag>
  </w:p>
  <w:p w:rsidR="00695DFE" w:rsidRPr="00F10DF9" w:rsidRDefault="00695DFE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C1B"/>
    <w:multiLevelType w:val="hybridMultilevel"/>
    <w:tmpl w:val="1E005A90"/>
    <w:lvl w:ilvl="0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84C32"/>
    <w:multiLevelType w:val="hybridMultilevel"/>
    <w:tmpl w:val="EA94E9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B545C"/>
    <w:rsid w:val="000C1DA8"/>
    <w:rsid w:val="000E047C"/>
    <w:rsid w:val="000E5BFA"/>
    <w:rsid w:val="001141E1"/>
    <w:rsid w:val="00133013"/>
    <w:rsid w:val="00133A34"/>
    <w:rsid w:val="00160524"/>
    <w:rsid w:val="00167178"/>
    <w:rsid w:val="0017204A"/>
    <w:rsid w:val="001C6A6D"/>
    <w:rsid w:val="00216EDB"/>
    <w:rsid w:val="00227466"/>
    <w:rsid w:val="00252861"/>
    <w:rsid w:val="00254E35"/>
    <w:rsid w:val="00267817"/>
    <w:rsid w:val="0028053C"/>
    <w:rsid w:val="00283D25"/>
    <w:rsid w:val="002C1B8F"/>
    <w:rsid w:val="002C1BB7"/>
    <w:rsid w:val="002F57E4"/>
    <w:rsid w:val="002F5DCC"/>
    <w:rsid w:val="00300456"/>
    <w:rsid w:val="00314FEB"/>
    <w:rsid w:val="0032048B"/>
    <w:rsid w:val="00346156"/>
    <w:rsid w:val="00362144"/>
    <w:rsid w:val="003667E5"/>
    <w:rsid w:val="00382380"/>
    <w:rsid w:val="003A269C"/>
    <w:rsid w:val="003A2E0F"/>
    <w:rsid w:val="003A7587"/>
    <w:rsid w:val="003C3732"/>
    <w:rsid w:val="003D5C14"/>
    <w:rsid w:val="00413D3E"/>
    <w:rsid w:val="00435BE5"/>
    <w:rsid w:val="0048019C"/>
    <w:rsid w:val="00486A99"/>
    <w:rsid w:val="004A23D2"/>
    <w:rsid w:val="004E6C38"/>
    <w:rsid w:val="005332FD"/>
    <w:rsid w:val="00562AE4"/>
    <w:rsid w:val="0056401D"/>
    <w:rsid w:val="005A3209"/>
    <w:rsid w:val="005B1D9B"/>
    <w:rsid w:val="005C224F"/>
    <w:rsid w:val="005D3FC4"/>
    <w:rsid w:val="006100CC"/>
    <w:rsid w:val="00627A46"/>
    <w:rsid w:val="00643B33"/>
    <w:rsid w:val="00644076"/>
    <w:rsid w:val="006631CF"/>
    <w:rsid w:val="00682036"/>
    <w:rsid w:val="00683387"/>
    <w:rsid w:val="00695DFE"/>
    <w:rsid w:val="006B3B54"/>
    <w:rsid w:val="006C45B4"/>
    <w:rsid w:val="006D0869"/>
    <w:rsid w:val="006E6713"/>
    <w:rsid w:val="007060D7"/>
    <w:rsid w:val="00710AAE"/>
    <w:rsid w:val="00726F36"/>
    <w:rsid w:val="00742B8E"/>
    <w:rsid w:val="0075474B"/>
    <w:rsid w:val="00773252"/>
    <w:rsid w:val="00796B3E"/>
    <w:rsid w:val="007A07C4"/>
    <w:rsid w:val="007A25F4"/>
    <w:rsid w:val="007A6599"/>
    <w:rsid w:val="007D3B9D"/>
    <w:rsid w:val="007F52D6"/>
    <w:rsid w:val="0082040E"/>
    <w:rsid w:val="00845D3E"/>
    <w:rsid w:val="008A283A"/>
    <w:rsid w:val="008A5F1B"/>
    <w:rsid w:val="008B7E17"/>
    <w:rsid w:val="008C3732"/>
    <w:rsid w:val="008F44CD"/>
    <w:rsid w:val="00905FC5"/>
    <w:rsid w:val="00922A5B"/>
    <w:rsid w:val="009603CA"/>
    <w:rsid w:val="009638A1"/>
    <w:rsid w:val="009D0C12"/>
    <w:rsid w:val="009E6E53"/>
    <w:rsid w:val="009F5476"/>
    <w:rsid w:val="00A150F1"/>
    <w:rsid w:val="00A167D6"/>
    <w:rsid w:val="00A20C0E"/>
    <w:rsid w:val="00A30F55"/>
    <w:rsid w:val="00A354FF"/>
    <w:rsid w:val="00A527A5"/>
    <w:rsid w:val="00AA128C"/>
    <w:rsid w:val="00AB6637"/>
    <w:rsid w:val="00AD71E5"/>
    <w:rsid w:val="00AE1995"/>
    <w:rsid w:val="00B40BDF"/>
    <w:rsid w:val="00C033E2"/>
    <w:rsid w:val="00C06C47"/>
    <w:rsid w:val="00C07656"/>
    <w:rsid w:val="00C57E29"/>
    <w:rsid w:val="00C64A71"/>
    <w:rsid w:val="00C805EC"/>
    <w:rsid w:val="00C83D9A"/>
    <w:rsid w:val="00C85B71"/>
    <w:rsid w:val="00CE6FBA"/>
    <w:rsid w:val="00D06AE0"/>
    <w:rsid w:val="00D3603F"/>
    <w:rsid w:val="00D54601"/>
    <w:rsid w:val="00D84933"/>
    <w:rsid w:val="00DD0667"/>
    <w:rsid w:val="00DD3CD5"/>
    <w:rsid w:val="00DD497C"/>
    <w:rsid w:val="00DF4650"/>
    <w:rsid w:val="00E0595C"/>
    <w:rsid w:val="00E433A7"/>
    <w:rsid w:val="00E463C2"/>
    <w:rsid w:val="00E6227B"/>
    <w:rsid w:val="00E940BF"/>
    <w:rsid w:val="00EA00BF"/>
    <w:rsid w:val="00EE4BD3"/>
    <w:rsid w:val="00EE70A1"/>
    <w:rsid w:val="00F10DF9"/>
    <w:rsid w:val="00F330EE"/>
    <w:rsid w:val="00F44166"/>
    <w:rsid w:val="00F744A6"/>
    <w:rsid w:val="00F756F8"/>
    <w:rsid w:val="00F812D3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6833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urrentExplorationPerm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Min%20Pet%20and%20Energy%20M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1726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2033</CharactersWithSpaces>
  <SharedDoc>false</SharedDoc>
  <HyperlinkBase>https://www.cabinet.qld.gov.au/documents/2008/Nov/Access to ag land by minerals sector/</HyperlinkBase>
  <HLinks>
    <vt:vector size="12" baseType="variant">
      <vt:variant>
        <vt:i4>2621491</vt:i4>
      </vt:variant>
      <vt:variant>
        <vt:i4>3</vt:i4>
      </vt:variant>
      <vt:variant>
        <vt:i4>0</vt:i4>
      </vt:variant>
      <vt:variant>
        <vt:i4>5</vt:i4>
      </vt:variant>
      <vt:variant>
        <vt:lpwstr>Attachments/CurrentExplorationPerm.pdf</vt:lpwstr>
      </vt:variant>
      <vt:variant>
        <vt:lpwstr/>
      </vt:variant>
      <vt:variant>
        <vt:i4>7274600</vt:i4>
      </vt:variant>
      <vt:variant>
        <vt:i4>0</vt:i4>
      </vt:variant>
      <vt:variant>
        <vt:i4>0</vt:i4>
      </vt:variant>
      <vt:variant>
        <vt:i4>5</vt:i4>
      </vt:variant>
      <vt:variant>
        <vt:lpwstr>Attachments/Min Pet and Energy Map.pdf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2017-10-24T07:45:00Z</dcterms:created>
  <dcterms:modified xsi:type="dcterms:W3CDTF">2018-03-06T00:52:00Z</dcterms:modified>
  <cp:category>mining,gas,land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